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llix" w:cs="Gellix" w:eastAsia="Gellix" w:hAnsi="Gellix"/>
          <w:b/>
          <w:bCs/>
          <w:color w:val="002FA7"/>
          <w:sz w:val="52"/>
          <w:szCs w:val="52"/>
        </w:rPr>
        <w:t xml:space="preserve">Checklist de due diligence para captação</w:t>
      </w:r>
    </w:p>
    <w:p>
      <w:pPr>
        <w:spacing w:after="160"/>
      </w:pPr>
      <w:r>
        <w:rPr>
          <w:rFonts w:ascii="Gellix" w:cs="Gellix" w:eastAsia="Gellix" w:hAnsi="Gellix"/>
          <w:color w:val="6B7280"/>
          <w:sz w:val="19"/>
          <w:szCs w:val="19"/>
        </w:rPr>
        <w:t xml:space="preserve">Modelo de referência · atualizado em 8 de setembro de 2026</w:t>
      </w:r>
    </w:p>
    <w:p>
      <w:pPr>
        <w:pBdr>
          <w:left w:val="single" w:color="002FA7" w:sz="24" w:space="8"/>
        </w:pBdr>
        <w:shd w:fill="EEF2FD" w:val="clear"/>
        <w:spacing w:after="280" w:before="60"/>
        <w:ind w:left="100"/>
      </w:pPr>
      <w:r>
        <w:rPr>
          <w:rFonts w:ascii="Gellix" w:cs="Gellix" w:eastAsia="Gellix" w:hAnsi="Gellix"/>
          <w:color w:val="22262F"/>
          <w:sz w:val="19"/>
          <w:szCs w:val="19"/>
        </w:rPr>
        <w:t xml:space="preserve">Este documento é um modelo de referência disponibilizado pelo agfroom, um produto AGF Capital. Não tem valor legal nem vinculante, não constitui aconselhamento jurídico ou financeiro e não substitui a análise de advogado ou assessor. Adapte ao seu caso antes de usar.</w:t>
      </w:r>
    </w:p>
    <w:p>
      <w:pPr>
        <w:spacing w:after="12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Use esta lista para montar o data room de captação antes de abrir para investidores. Cada bloco tem os documentos que costumam ser pedidos na diligência, onde eles costumam estar guardados e uma coluna de status para acompanhar o que já está pronto.</w:t>
      </w: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Societário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Documento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Onde costuma estar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Observação</w:t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Contrato social ou estatuto consolidado, com todas as alterações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Cartório ou Junta Comercial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Atas de assembleia ou reunião de sócios dos últimos 3 anos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Livro de atas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Cap table atualizado, com histórico de rodadas anteriores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Planilha interna ou plataforma de cap table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Acordo de sócios ou acordo de acionistas vigente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Pasta jurídica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Certidões negativas (federal, estadual, municipal, trabalhista)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Portal da Receita e dos tribunais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Organograma societário do grupo, com participações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Pasta jurídica ou financeira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Registro de marca e demais ativos de propriedade intelectual em nome da empresa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INPI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Procurações vigentes outorgadas pela empresa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Pasta jurídica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Financeiro e contábil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Documento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Onde costuma estar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Observação</w:t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Demonstrações financeiras dos últimos 3 anos (balanço, DRE, DFC)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Contabilidade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Balancetes mensais do ano corrente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Contabilidade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Relatório de auditoria independente, se houver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Contabilidade ou auditoria externa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Fluxo de caixa projetado (12 a 24 meses)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Financeiro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Conciliação bancária dos últimos 12 meses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Financeiro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Posição de dívida e contratos de empréstimo vigentes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Financeiro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Relação de contas a pagar e a receber em aberto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Financeiro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Cálculo e histórico de métricas-chave (MRR, churn, CAC, LTV, conforme o modelo de negócio)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Financeiro ou produto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Contratos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Documento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Onde costuma estar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Observação</w:t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Contratos com os principais clientes, vigentes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Comercial ou jurídico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Contratos com os principais fornecedores e parceiros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Jurídico ou operação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Contrato de locação da sede e demais imóveis usados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Jurídico ou administrativo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Contratos de financiamento, mútuo ou dívida conversível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Jurídico ou financeiro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Apólices de seguro vigentes (D&amp;O, responsabilidade civil, patrimonial)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Administrativo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Contratos de licenciamento de software de terceiros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Jurídico ou tecnologia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Termos de uso e política de privacidade publicados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Jurídico ou produto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Cartas de intenção ou memorandos de entendimento em curso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Jurídico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Propriedade intelectual e tecnologia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Documento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Onde costuma estar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Observação</w:t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Registro de marca (nacional e, se houver, internacional)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INPI ou escritório de marcas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Registro de software ou de patente, quando aplicável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INPI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Inventário de domínios e certificados digitais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Tecnologia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Documentação de arquitetura do produto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Tecnologia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Contratos de cessão de propriedade intelectual de fundadores e colaboradores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Jurídico ou RH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Relatório de dependências e licenças de código aberto usadas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Tecnologia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Política de segurança da informação e registro de incidentes, se houver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Tecnologia ou compliance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Pessoas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Documento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Onde costuma estar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Observação</w:t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Organograma da empresa, com headcount por área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RH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Contratos de trabalho dos sócios operadores e principais executivos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RH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Plano de opções (vesting) e relação de beneficiários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RH ou jurídico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Política de remuneração e benefícios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RH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Processos trabalhistas em curso, se houver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Jurídico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Acordos de confidencialidade e não competição com colaboradores-chave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RH ou jurídico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Registro de afastamentos, passivos trabalhistas e provisões relacionadas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RH ou contabilidade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Regulatório e compliance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Documento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Onde costuma estar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Observação</w:t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Licenças e alvarás de funcionamento vigentes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Administrativo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Registros em órgãos reguladores do setor, quando aplicável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Jurídico ou compliance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Política de proteção de dados e mapeamento de bases (LGPD)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Compliance ou jurídico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Contratos com encarregado de dados (DPO), interno ou terceirizado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Compliance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Processos administrativos ou judiciais em curso, cíveis ou regulatórios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Jurídico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Certificações e auditorias de segurança, quando houver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Tecnologia ou compliance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Tributário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Documento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Onde costuma estar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Observação</w:t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Apurações de impostos dos últimos 3 anos (federal, estadual, municipal)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Contabilidade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Parcelamentos fiscais em curso, se houver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Contabilidade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Autuações fiscais recebidas e seu status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Jurídico tributário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Regime tributário atual e histórico de enquadramento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Contabilidade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Créditos tributários a compensar, se houver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Contabilidade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Notas fiscais emitidas e canceladas, últimos 12 meses (amostra)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Contabilidade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Declarações acessórias entregues (ECF, ECD, DCTF, conforme o regime)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Contabilidade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 preencher</w:t>
            </w:r>
          </w:p>
        </w:tc>
        <w:tc>
          <w:tcPr>
            <w:tcW w:type="dxa" w:w="2256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Gellix" w:cs="Gellix" w:eastAsia="Gellix" w:hAnsi="Gellix"/>
        <w:color w:val="6B7280"/>
        <w:sz w:val="16"/>
        <w:szCs w:val="16"/>
      </w:rPr>
      <w:t xml:space="preserve">Este documento é um modelo de referência disponibilizado pelo agfroom, um produto AGF Capital. Não tem valor legal nem vinculante, não constitui aconselhamento jurídico ou financeiro e não substitui a análise de advogado ou assessor. Adapte ao seu caso antes de usar.</w:t>
    </w:r>
  </w:p>
  <w:p>
    <w:pPr>
      <w:tabs>
        <w:tab w:val="right" w:pos="9026"/>
      </w:tabs>
    </w:pPr>
    <w:r>
      <w:rPr>
        <w:rFonts w:ascii="Gellix" w:cs="Gellix" w:eastAsia="Gellix" w:hAnsi="Gellix"/>
        <w:color w:val="6B7280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BE3FB" w:sz="4" w:space="4"/>
      </w:pBdr>
      <w:tabs>
        <w:tab w:val="right" w:pos="9026"/>
      </w:tabs>
    </w:pPr>
    <w:r>
      <w:rPr>
        <w:rFonts w:ascii="Gellix" w:cs="Gellix" w:eastAsia="Gellix" w:hAnsi="Gellix"/>
        <w:b/>
        <w:bCs/>
        <w:color w:val="002FA7"/>
        <w:sz w:val="18"/>
        <w:szCs w:val="18"/>
      </w:rPr>
      <w:t xml:space="preserve">agfroom</w:t>
    </w:r>
    <w:r>
      <w:rPr>
        <w:rFonts w:ascii="Gellix" w:cs="Gellix" w:eastAsia="Gellix" w:hAnsi="Gellix"/>
        <w:color w:val="6B7280"/>
        <w:sz w:val="18"/>
        <w:szCs w:val="18"/>
      </w:rPr>
      <w:t xml:space="preserve">	Checklist de due diligence para captação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2" w:hanging="216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2" w:hanging="216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due diligence para captação</dc:title>
  <dc:creator>agfroom</dc:creator>
  <dc:description>Itens que investidores pedem numa rodada de equity, por bloco: societário, financeiro e contábil, contratos, propriedade intelectual, pessoas, compliance e tributário.</dc:description>
  <cp:lastModifiedBy>Un-named</cp:lastModifiedBy>
  <cp:revision>1</cp:revision>
  <dcterms:created xsi:type="dcterms:W3CDTF">2026-09-23T10:45:53.455Z</dcterms:created>
  <dcterms:modified xsi:type="dcterms:W3CDTF">2026-09-23T10:45:53.455Z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