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Gellix" w:cs="Gellix" w:eastAsia="Gellix" w:hAnsi="Gellix"/>
          <w:b/>
          <w:bCs/>
          <w:color w:val="002FA7"/>
          <w:sz w:val="52"/>
          <w:szCs w:val="52"/>
        </w:rPr>
        <w:t xml:space="preserve">Checklist de due diligence para captação</w:t>
      </w:r>
    </w:p>
    <w:p>
      <w:pPr>
        <w:spacing w:after="160"/>
      </w:pPr>
      <w:r>
        <w:rPr>
          <w:rFonts w:ascii="Gellix" w:cs="Gellix" w:eastAsia="Gellix" w:hAnsi="Gellix"/>
          <w:color w:val="6B7280"/>
          <w:sz w:val="19"/>
          <w:szCs w:val="19"/>
        </w:rPr>
        <w:t xml:space="preserve">Modelo de referência · atualizado em 8 de setembro de 2026</w:t>
      </w:r>
    </w:p>
    <w:p>
      <w:pPr>
        <w:pBdr>
          <w:left w:val="single" w:color="002FA7" w:sz="24" w:space="8"/>
        </w:pBdr>
        <w:shd w:fill="EEF2FD" w:val="clear"/>
        <w:spacing w:after="280" w:before="60"/>
        <w:ind w:left="100"/>
      </w:pPr>
      <w:r>
        <w:rPr>
          <w:rFonts w:ascii="Gellix" w:cs="Gellix" w:eastAsia="Gellix" w:hAnsi="Gellix"/>
          <w:color w:val="22262F"/>
          <w:sz w:val="19"/>
          <w:szCs w:val="19"/>
        </w:rPr>
  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Use esta lista para montar o data room de captação antes de abrir para investidores. Cada bloco tem os documentos que costumam ser pedidos na diligência, onde eles costumam estar guardados e uma coluna de status para acompanhar o que já está pronto.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Societário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Documento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Onde costuma estar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Observação</w:t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 social ou estatuto consolidado, com todas as alterações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Cartório ou Junta Comercial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Atas de assembleia ou reunião de sócios dos últimos 3 anos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Livro de atas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Cap table atualizado, com histórico de rodadas anteriores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Planilha interna ou plataforma de cap table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Acordo de sócios ou acordo de acionistas vigente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Pasta jurídica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Certidões negativas (federal, estadual, municipal, trabalhista)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Portal da Receita e dos tribunais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Organograma societário do grupo, com participações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Pasta jurídica ou financeira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Registro de marca e demais ativos de propriedade intelectual em nome da empresa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INPI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Procurações vigentes outorgadas pela empresa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Pasta jurídica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Financeiro e contábil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Documento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Onde costuma estar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Observação</w:t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Demonstrações financeiras dos últimos 3 anos (balanço, DRE, DFC)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Balancetes mensais do ano corrente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Relatório de auditoria independente, se houver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 ou auditoria externa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Fluxo de caixa projetado (12 a 24 meses)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Financeiro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Conciliação bancária dos últimos 12 meses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Financeiro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Posição de dívida e contratos de empréstimo vigentes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Financeiro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Relação de contas a pagar e a receber em aberto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Financeiro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Cálculo e histórico de métricas-chave (MRR, churn, CAC, LTV, conforme o modelo de negócio)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Financeiro ou produto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Contratos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Documento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Onde costuma estar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Observação</w:t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Contratos com os principais clientes, vigentes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Comercial ou jurídico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Contratos com os principais fornecedores e parceiros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ou operação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 de locação da sede e demais imóveis usados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ou administrativo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Contratos de financiamento, mútuo ou dívida conversível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ou financeiro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Apólices de seguro vigentes (D&amp;O, responsabilidade civil, patrimonial)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Administrativo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Contratos de licenciamento de software de terceiros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ou tecnologia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Termos de uso e política de privacidade publicados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ou produto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Cartas de intenção ou memorandos de entendimento em curso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Propriedade intelectual e tecnologia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Documento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Onde costuma estar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Observação</w:t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Registro de marca (nacional e, se houver, internacional)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INPI ou escritório de marcas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Registro de software ou de patente, quando aplicável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INPI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Inventário de domínios e certificados digitais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Tecnologia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Documentação de arquitetura do produto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Tecnologia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Contratos de cessão de propriedade intelectual de fundadores e colaboradores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ou RH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Relatório de dependências e licenças de código aberto usadas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Tecnologia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Política de segurança da informação e registro de incidentes, se houver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Tecnologia ou compliance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Pessoas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Documento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Onde costuma estar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Observação</w:t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Organograma da empresa, com headcount por área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RH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Contratos de trabalho dos sócios operadores e principais executivos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RH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Plano de opções (vesting) e relação de beneficiários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RH ou jurídico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Política de remuneração e benefícios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RH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Processos trabalhistas em curso, se houver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Acordos de confidencialidade e não competição com colaboradores-chave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RH ou jurídico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Registro de afastamentos, passivos trabalhistas e provisões relacionadas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RH ou 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Regulatório e compliance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Documento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Onde costuma estar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Observação</w:t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Licenças e alvarás de funcionamento vigentes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Administrativo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Registros em órgãos reguladores do setor, quando aplicável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ou compliance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Política de proteção de dados e mapeamento de bases (LGPD)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Compliance ou jurídico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Contratos com encarregado de dados (DPO), interno ou terceirizado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Compliance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Processos administrativos ou judiciais em curso, cíveis ou regulatórios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Certificações e auditorias de segurança, quando houver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Tecnologia ou compliance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Tributário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Documento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Onde costuma estar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Observação</w:t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Apurações de impostos dos últimos 3 anos (federal, estadual, municipal)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Parcelamentos fiscais em curso, se houver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Autuações fiscais recebidas e seu status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Jurídico tributário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Regime tributário atual e histórico de enquadramento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Créditos tributários a compensar, se houver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Notas fiscais emitidas e canceladas, últimos 12 meses (amostra)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Declarações acessórias entregues (ECF, ECD, DCTF, conforme o regime)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Contabilidade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 preencher</w:t>
            </w:r>
          </w:p>
        </w:tc>
        <w:tc>
          <w:tcPr>
            <w:tcW w:type="dxa" w:w="2256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/>
            </w:r>
          </w:p>
        </w:tc>
      </w:tr>
    </w:tbl>
    <w:p>
      <w:pPr>
        <w:spacing w:after="120"/>
      </w:pP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40"/>
    </w:pPr>
    <w:r>
      <w:rPr>
        <w:rFonts w:ascii="Gellix" w:cs="Gellix" w:eastAsia="Gellix" w:hAnsi="Gellix"/>
        <w:color w:val="6B7280"/>
        <w:sz w:val="16"/>
        <w:szCs w:val="16"/>
      </w:rPr>
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</w:r>
  </w:p>
  <w:p>
    <w:pPr>
      <w:tabs>
        <w:tab w:val="right" w:pos="9026"/>
      </w:tabs>
    </w:pPr>
    <w:r>
      <w:rPr>
        <w:rFonts w:ascii="Gellix" w:cs="Gellix" w:eastAsia="Gellix" w:hAnsi="Gellix"/>
        <w:color w:val="6B7280"/>
        <w:sz w:val="16"/>
        <w:szCs w:val="16"/>
      </w:rPr>
      <w:t xml:space="preserve">	Página </w:t>
      <w:fldChar w:fldCharType="begin"/>
      <w:instrText xml:space="preserve">PAGE</w:instrText>
      <w:fldChar w:fldCharType="separate"/>
      <w:fldChar w:fldCharType="end"/>
      <w:t xml:space="preserve"> de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DBE3FB" w:sz="4" w:space="4"/>
      </w:pBdr>
      <w:tabs>
        <w:tab w:val="right" w:pos="9026"/>
      </w:tabs>
    </w:pPr>
    <w:r>
      <w:rPr>
        <w:rFonts w:ascii="Gellix" w:cs="Gellix" w:eastAsia="Gellix" w:hAnsi="Gellix"/>
        <w:b/>
        <w:bCs/>
        <w:color w:val="002FA7"/>
        <w:sz w:val="18"/>
        <w:szCs w:val="18"/>
      </w:rPr>
      <w:t xml:space="preserve">agfroom</w:t>
    </w:r>
    <w:r>
      <w:rPr>
        <w:rFonts w:ascii="Gellix" w:cs="Gellix" w:eastAsia="Gellix" w:hAnsi="Gellix"/>
        <w:color w:val="6B7280"/>
        <w:sz w:val="18"/>
        <w:szCs w:val="18"/>
      </w:rPr>
      <w:t xml:space="preserve">	Checklist de due diligence para captação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32" w:hanging="216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32" w:hanging="216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de due diligence para captação</dc:title>
  <dc:creator>agfroom</dc:creator>
  <dc:description>Itens que investidores pedem numa rodada de equity, por bloco: societário, financeiro e contábil, contratos, propriedade intelectual, pessoas, compliance e tributário.</dc:description>
  <cp:lastModifiedBy>Un-named</cp:lastModifiedBy>
  <cp:revision>1</cp:revision>
  <dcterms:created xsi:type="dcterms:W3CDTF">2026-11-06T10:34:05.695Z</dcterms:created>
  <dcterms:modified xsi:type="dcterms:W3CDTF">2026-11-06T10:34:05.695Z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