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llix" w:cs="Gellix" w:eastAsia="Gellix" w:hAnsi="Gellix"/>
          <w:b/>
          <w:bCs/>
          <w:color w:val="002FA7"/>
          <w:sz w:val="52"/>
          <w:szCs w:val="52"/>
        </w:rPr>
        <w:t xml:space="preserve">Estrutura de pastas para data room de captação e de M&amp;A</w:t>
      </w:r>
    </w:p>
    <w:p>
      <w:pPr>
        <w:spacing w:after="160"/>
      </w:pPr>
      <w:r>
        <w:rPr>
          <w:rFonts w:ascii="Gellix" w:cs="Gellix" w:eastAsia="Gellix" w:hAnsi="Gellix"/>
          <w:color w:val="6B7280"/>
          <w:sz w:val="19"/>
          <w:szCs w:val="19"/>
        </w:rPr>
        <w:t xml:space="preserve">Modelo de referência · atualizado em 8 de setembro de 2026</w:t>
      </w:r>
    </w:p>
    <w:p>
      <w:pPr>
        <w:pBdr>
          <w:left w:val="single" w:color="002FA7" w:sz="24" w:space="8"/>
        </w:pBdr>
        <w:shd w:fill="EEF2FD" w:val="clear"/>
        <w:spacing w:after="280" w:before="60"/>
        <w:ind w:left="100"/>
      </w:pPr>
      <w:r>
        <w:rPr>
          <w:rFonts w:ascii="Gellix" w:cs="Gellix" w:eastAsia="Gellix" w:hAnsi="Gellix"/>
          <w:color w:val="22262F"/>
          <w:sz w:val="19"/>
          <w:szCs w:val="19"/>
        </w:rPr>
  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Use esta estrutura como ponto de partida ao montar um data room de captação ou um data room de M&amp;A. A numeração de 00 a 09 mantém a ordem estável mesmo quando o investidor ou o comprador pede para adicionar pastas no meio do processo.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Data room de captação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00. Sobre a empresa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apresentação institucional, teaser de uma página, histórico resumido da empresa e do time fundador.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rascunhos de apresentação, versões antigas do teaser, material de outra rodada.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01. Societário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contrato social consolidado, atas, cap table atualizado, acordo de sócios vigente.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minutas de alteração ainda não registradas, atas de reuniões informais sem valor societário.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02. Financeiro e contábil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demonstrações financeiras dos últimos anos, balancetes do ano corrente, fluxo de caixa projetado.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planilhas de rascunho, versões intermediárias de fechamento mensal já substituídas.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03. Métricas e operação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série histórica das métricas-chave do negócio, coorte de clientes ou usuários, metodologia de cálculo de cada métrica.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métricas sem metodologia documentada, projeções sem premissa explícita.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04. Contratos comerciais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contratos vigentes com os principais clientes e fornecedores, termos de uso publicados.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contratos encerrados sem relevância para o negócio atual, propostas comerciais não assinadas.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05. Propriedade intelectual e tecnologia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registro de marca, documentação de arquitetura, inventário de domínios, licenças de software de terceiros.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documentação técnica de sistemas descontinuados, código-fonte completo (fica reservado para uma fase posterior da diligência, sob acesso controlado).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06. Pessoas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organograma, contratos dos principais executivos, plano de opções e relação de beneficiários.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dados pessoais sensíveis de colaboradores além do necessário para a diligência, avaliações de desempenho individuais.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07. Regulatório e compliance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licenças e alvarás vigentes, política de proteção de dados, registros em órgãos reguladores do setor.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correspondência informal com órgãos reguladores sem valor probatório.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08. Tributário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apurações de impostos dos últimos anos, parcelamentos em curso, regime tributário atual.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notas fiscais individuais fora de uma amostra representativa pedida pelo investidor.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09. Termos da rodada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term sheet, cap table pré e pós rodada, modelo financeiro usado na negociação.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versões de term sheet já superadas por uma posterior.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Data room de M&amp;A sell-side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color w:val="22262F"/>
          <w:sz w:val="21"/>
          <w:szCs w:val="21"/>
        </w:rPr>
        <w:t xml:space="preserve"/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00. Visão geral da transação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teaser anônimo, cronograma do processo, lista de compradores contatados e status de cada um.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identificação do comprador antes da assinatura do NDA correspondente.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01. Societário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contrato social consolidado, cap table completo, acordo de acionistas, certidões negativas.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disputas societárias já encerradas e sem relação com a operação.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02. Financeiro e contábil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demonstrações financeiras auditadas quando existirem, balancetes recentes, posição de dívida detalhada.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relatórios financeiros gerenciais que divirjam do contábil sem nota explicando a diferença.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03. Comercial e clientes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carteira de clientes com receita por cliente, taxa de retenção, contratos de maior relevância.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dados de clientes além do necessário para avaliar concentração e recorrência de receita.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04. Contratos e fornecedores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contratos vigentes com fornecedores críticos, cláusulas de mudança de controle relevantes para a operação.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contratos de baixo valor sem cláusula de mudança de controle.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05. Propriedade intelectual e tecnologia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registro de marca e patentes, relatório de dependências de código aberto, mapa de infraestrutura.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segredos de implementação que não afetam a avaliação da tecnologia como ativo.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06. Pessoas e RH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organograma completo, contratos-chave, passivos trabalhistas e processos em curso.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avaliação individual de desempenho sem relação com contingência ou retenção pós-fechamento.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07. Regulatório, ambiental e compliance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licenças ambientais quando aplicável, registros regulatórios do setor, mapeamento de dados pessoais.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correspondência regulatória sem desdobramento relevante para a transação.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08. Tributário e trabalhista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contingências fiscais e trabalhistas quantificadas, autuações recebidas e seu status.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estimativas de contingência sem memória de cálculo.</w:t>
      </w:r>
    </w:p>
    <w:p>
      <w:pPr>
        <w:spacing w:after="120" w:before="280"/>
      </w:pPr>
      <w:r>
        <w:rPr>
          <w:rFonts w:ascii="Gellix" w:cs="Gellix" w:eastAsia="Gellix" w:hAnsi="Gellix"/>
          <w:b/>
          <w:bCs/>
          <w:color w:val="000000"/>
          <w:sz w:val="26"/>
          <w:szCs w:val="26"/>
        </w:rPr>
        <w:t xml:space="preserve">09. Documentos da transação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minuta do contrato de compra e venda (SPA), term sheet, estrutura de escrow proposta.</w:t>
      </w:r>
    </w:p>
    <w:p>
      <w:pPr>
        <w:spacing w:after="120"/>
      </w:pPr>
      <w:r>
        <w:rPr>
          <w:rFonts w:ascii="Gellix" w:cs="Gellix" w:eastAsia="Gellix" w:hAnsi="Gellix"/>
          <w:b/>
          <w:bCs/>
          <w:i w:val="false"/>
          <w:iCs w:val="false"/>
          <w:color w:val="22262F"/>
          <w:sz w:val="21"/>
          <w:szCs w:val="21"/>
        </w:rPr>
        <w:t xml:space="preserve">O que não entra: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versões de minuta já substituídas por uma posterior.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Convenções de nome de arquivo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Nomear arquivos de forma consistente evita duplicidade e facilita a busca dentro do data room.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Prefixo com o número da pasta: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02-dre-consolidada-2025.pdf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, não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DRE 2025 final (2).pdf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Data no formato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aaaa-mm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, quando o documento for periódico: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02-balancete-2026-08.xlsx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Sem espaços nem acentos no nome do arquivo: use hífen entre palavras.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Sem "final", "final2" ou "versão nova" no nome: quem sobe um arquivo novo substitui o anterior ou versiona com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-v2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,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-v3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Extensão sempre em minúsculas e compatível com o conteúdo (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.pdf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para documento assinado, 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.xlsx</w:t>
      </w: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 para planilha viva).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Gellix" w:cs="Gellix" w:eastAsia="Gellix" w:hAnsi="Gellix"/>
        <w:color w:val="6B7280"/>
        <w:sz w:val="16"/>
        <w:szCs w:val="16"/>
      </w:rPr>
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</w:r>
  </w:p>
  <w:p>
    <w:pPr>
      <w:tabs>
        <w:tab w:val="right" w:pos="9026"/>
      </w:tabs>
    </w:pPr>
    <w:r>
      <w:rPr>
        <w:rFonts w:ascii="Gellix" w:cs="Gellix" w:eastAsia="Gellix" w:hAnsi="Gellix"/>
        <w:color w:val="6B7280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BE3FB" w:sz="4" w:space="4"/>
      </w:pBdr>
      <w:tabs>
        <w:tab w:val="right" w:pos="9026"/>
      </w:tabs>
    </w:pPr>
    <w:r>
      <w:rPr>
        <w:rFonts w:ascii="Gellix" w:cs="Gellix" w:eastAsia="Gellix" w:hAnsi="Gellix"/>
        <w:b/>
        <w:bCs/>
        <w:color w:val="002FA7"/>
        <w:sz w:val="18"/>
        <w:szCs w:val="18"/>
      </w:rPr>
      <w:t xml:space="preserve">agfroom</w:t>
    </w:r>
    <w:r>
      <w:rPr>
        <w:rFonts w:ascii="Gellix" w:cs="Gellix" w:eastAsia="Gellix" w:hAnsi="Gellix"/>
        <w:color w:val="6B7280"/>
        <w:sz w:val="18"/>
        <w:szCs w:val="18"/>
      </w:rPr>
      <w:t xml:space="preserve">	Estrutura de pastas para data room de captação e de M&amp;A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2" w:hanging="216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2" w:hanging="216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Estrutura de pastas para data room de captação e de M&amp;A</dc:title>
  <dc:creator>agfroom</dc:creator>
  <dc:description>Índice numerado de 00 a 09 para organizar um data room de captação e um data room de M&amp;A sell-side, com o que entra e o que não entra em cada pasta.</dc:description>
  <cp:lastModifiedBy>Un-named</cp:lastModifiedBy>
  <cp:revision>1</cp:revision>
  <dcterms:created xsi:type="dcterms:W3CDTF">2026-09-23T10:45:53.575Z</dcterms:created>
  <dcterms:modified xsi:type="dcterms:W3CDTF">2026-09-23T10:45:53.575Z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