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Gellix" w:cs="Gellix" w:eastAsia="Gellix" w:hAnsi="Gellix"/>
          <w:b/>
          <w:bCs/>
          <w:color w:val="002FA7"/>
          <w:sz w:val="52"/>
          <w:szCs w:val="52"/>
        </w:rPr>
        <w:t xml:space="preserve">Modelo de investor update mensal</w:t>
      </w:r>
    </w:p>
    <w:p>
      <w:pPr>
        <w:spacing w:after="160"/>
      </w:pPr>
      <w:r>
        <w:rPr>
          <w:rFonts w:ascii="Gellix" w:cs="Gellix" w:eastAsia="Gellix" w:hAnsi="Gellix"/>
          <w:color w:val="6B7280"/>
          <w:sz w:val="19"/>
          <w:szCs w:val="19"/>
        </w:rPr>
        <w:t xml:space="preserve">Modelo de referência · atualizado em 8 de setembro de 2026</w:t>
      </w:r>
    </w:p>
    <w:p>
      <w:pPr>
        <w:pBdr>
          <w:left w:val="single" w:color="002FA7" w:sz="24" w:space="8"/>
        </w:pBdr>
        <w:shd w:fill="EEF2FD" w:val="clear"/>
        <w:spacing w:after="280" w:before="60"/>
        <w:ind w:left="100"/>
      </w:pPr>
      <w:r>
        <w:rPr>
          <w:rFonts w:ascii="Gellix" w:cs="Gellix" w:eastAsia="Gellix" w:hAnsi="Gellix"/>
          <w:color w:val="22262F"/>
          <w:sz w:val="19"/>
          <w:szCs w:val="19"/>
        </w:rPr>
        <w:t xml:space="preserve">Este documento é um modelo de referência disponibilizado pelo agfroom, um produto AGF Capital. Não tem valor legal nem vinculante, não constitui aconselhamento jurídico ou financeiro e não substitui a análise de advogado ou assessor. Adapte ao seu caso antes de usar.</w:t>
      </w:r>
    </w:p>
    <w:p>
      <w:pPr>
        <w:spacing w:after="12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Use esta estrutura para enviar um update mensal aos investidores. Mantenha o mesmo formato todo mês: quem lê aprende a encontrar a informação no mesmo lugar, e a comparação mês a mês fica mais fácil. Abaixo de cada seção há um exemplo curto preenchido, marcado como "(exemplo)".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Resumo em três linhas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Linha 1: o destaque do mês, positivo ou negativo. (exemplo) Fechamos o mês com receita recorrente de R$ 180 mil, alta de 12% sobre o mês anterior.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Linha 2: o principal risco ou desafio em aberto. (exemplo) O ciclo de vendas para clientes enterprise segue mais longo que o planejado, em torno de 90 dias.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Linha 3: o que muda no próximo mês. (exemplo) Contratação de um segundo executivo de vendas para reduzir a dependência do fundador comercial.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Métricas do mês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Métrica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Mês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Mês anterior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Variação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shd w:fill="002FA7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r>
              <w:rPr>
                <w:rFonts w:ascii="Gellix" w:cs="Gellix" w:eastAsia="Gellix" w:hAnsi="Gellix"/>
                <w:b/>
                <w:bCs/>
                <w:color w:val="FFFFFF"/>
                <w:sz w:val="19"/>
                <w:szCs w:val="19"/>
              </w:rPr>
              <w:t xml:space="preserve">Meta</w:t>
            </w:r>
          </w:p>
        </w:tc>
      </w:tr>
      <w:tr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Receita recorrente mensal (MRR)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[valor]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[valor]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[percentual]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[valor]</w:t>
            </w:r>
          </w:p>
        </w:tc>
      </w:tr>
      <w:tr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Novos clientes no mês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[número]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[número]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[percentual]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[número]</w:t>
            </w:r>
          </w:p>
        </w:tc>
      </w:tr>
      <w:tr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Churn de receita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[percentual]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[percentual]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[percentual]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[percentual]</w:t>
            </w:r>
          </w:p>
        </w:tc>
      </w:tr>
      <w:tr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Caixa em conta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[valor]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[valor]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[percentual]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[valor]</w:t>
            </w:r>
          </w:p>
        </w:tc>
      </w:tr>
      <w:tr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Headcount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[número]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[número]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[percentual]</w:t>
            </w:r>
          </w:p>
        </w:tc>
        <w:tc>
          <w:tcPr>
            <w:tcW w:type="dxa" w:w="1805"/>
            <w:tcBorders>
              <w:top w:val="single" w:color="DBE3FB" w:sz="2"/>
              <w:left w:val="single" w:color="DBE3FB" w:sz="2"/>
              <w:bottom w:val="single" w:color="DBE3FB" w:sz="2"/>
              <w:right w:val="single" w:color="DBE3FB" w:sz="2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r>
              <w:rPr>
                <w:rFonts w:ascii="Gellix" w:cs="Gellix" w:eastAsia="Gellix" w:hAnsi="Gellix"/>
                <w:color w:val="22262F"/>
                <w:sz w:val="19"/>
                <w:szCs w:val="19"/>
              </w:rPr>
              <w:t xml:space="preserve">[número]</w:t>
            </w:r>
          </w:p>
        </w:tc>
      </w:tr>
    </w:tbl>
    <w:p>
      <w:pPr>
        <w:spacing w:after="120"/>
      </w:pP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Caixa e runway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Caixa em conta ao fim do mês: [valor].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Queima de caixa mensal (burn rate): [valor].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Runway estimado no ritmo atual: [número] meses.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(exemplo) Caixa em conta de R$ 1,4 milhão, burn mensal de R$ 140 mil, runway de 10 meses no ritmo atual.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O que funcionou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[Item 1, ex.: canal de indicação passou a responder por 30% das nossas novas vendas]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[Item 2]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[Item 3]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O que não funcionou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[Item 1, ex.: a campanha paga no canal X não converteu no custo por cliente esperado e foi pausada]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[Item 2]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[Item 3]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Pedidos aos investidores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[Pedido 1, ex.: apresentação a um potencial cliente enterprise no setor Y]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[Pedido 2, ex.: indicação para a próxima contratação de liderança de vendas]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[Pedido 3]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Time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Contratações do mês: [nome e função, ou "nenhuma"].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Saídas do mês: [nome e função, ou "nenhuma"].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Headcount total ao fim do mês: [número].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Próximos 30 dias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[Prioridade 1]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[Prioridade 2]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[Prioridade 3]</w:t>
      </w:r>
    </w:p>
    <w:p>
      <w:pPr>
        <w:spacing w:after="120" w:before="360"/>
      </w:pPr>
      <w:r>
        <w:rPr>
          <w:rFonts w:ascii="Gellix" w:cs="Gellix" w:eastAsia="Gellix" w:hAnsi="Gellix"/>
          <w:b/>
          <w:bCs/>
          <w:color w:val="002FA7"/>
          <w:sz w:val="32"/>
          <w:szCs w:val="32"/>
        </w:rPr>
        <w:t xml:space="preserve">Anexos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[Link ou nome do anexo 1, ex.: demonstrativo financeiro do mês]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llix" w:cs="Gellix" w:eastAsia="Gellix" w:hAnsi="Gellix"/>
          <w:b w:val="false"/>
          <w:bCs w:val="false"/>
          <w:i w:val="false"/>
          <w:iCs w:val="false"/>
          <w:color w:val="22262F"/>
          <w:sz w:val="21"/>
          <w:szCs w:val="21"/>
        </w:rPr>
        <w:t xml:space="preserve">[Link ou nome do anexo 2, ex.: cap table atualizado, quando houver mudança]</w:t>
      </w:r>
    </w:p>
    <w:sectPr>
      <w:headerReference w:type="default" r:id="rId7"/>
      <w:footerReference w:type="default" r:id="rId8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40"/>
    </w:pPr>
    <w:r>
      <w:rPr>
        <w:rFonts w:ascii="Gellix" w:cs="Gellix" w:eastAsia="Gellix" w:hAnsi="Gellix"/>
        <w:color w:val="6B7280"/>
        <w:sz w:val="16"/>
        <w:szCs w:val="16"/>
      </w:rPr>
      <w:t xml:space="preserve">Este documento é um modelo de referência disponibilizado pelo agfroom, um produto AGF Capital. Não tem valor legal nem vinculante, não constitui aconselhamento jurídico ou financeiro e não substitui a análise de advogado ou assessor. Adapte ao seu caso antes de usar.</w:t>
    </w:r>
  </w:p>
  <w:p>
    <w:pPr>
      <w:tabs>
        <w:tab w:val="right" w:pos="9026"/>
      </w:tabs>
    </w:pPr>
    <w:r>
      <w:rPr>
        <w:rFonts w:ascii="Gellix" w:cs="Gellix" w:eastAsia="Gellix" w:hAnsi="Gellix"/>
        <w:color w:val="6B7280"/>
        <w:sz w:val="16"/>
        <w:szCs w:val="16"/>
      </w:rPr>
      <w:t xml:space="preserve">	Página </w:t>
      <w:fldChar w:fldCharType="begin"/>
      <w:instrText xml:space="preserve">PAGE</w:instrText>
      <w:fldChar w:fldCharType="separate"/>
      <w:fldChar w:fldCharType="end"/>
      <w:t xml:space="preserve"> de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DBE3FB" w:sz="4" w:space="4"/>
      </w:pBdr>
      <w:tabs>
        <w:tab w:val="right" w:pos="9026"/>
      </w:tabs>
    </w:pPr>
    <w:r>
      <w:rPr>
        <w:rFonts w:ascii="Gellix" w:cs="Gellix" w:eastAsia="Gellix" w:hAnsi="Gellix"/>
        <w:b/>
        <w:bCs/>
        <w:color w:val="002FA7"/>
        <w:sz w:val="18"/>
        <w:szCs w:val="18"/>
      </w:rPr>
      <w:t xml:space="preserve">agfroom</w:t>
    </w:r>
    <w:r>
      <w:rPr>
        <w:rFonts w:ascii="Gellix" w:cs="Gellix" w:eastAsia="Gellix" w:hAnsi="Gellix"/>
        <w:color w:val="6B7280"/>
        <w:sz w:val="18"/>
        <w:szCs w:val="18"/>
      </w:rPr>
      <w:t xml:space="preserve">	Modelo de investor update mensal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32" w:hanging="216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32" w:hanging="216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investor update mensal</dc:title>
  <dc:creator>agfroom</dc:creator>
  <dc:description>Estrutura de update mensal para investidores: resumo em três linhas, métricas do mês, caixa e runway, pedidos aos investidores e próximos 30 dias, com um exemplo preenchido.</dc:description>
  <cp:lastModifiedBy>Un-named</cp:lastModifiedBy>
  <cp:revision>1</cp:revision>
  <dcterms:created xsi:type="dcterms:W3CDTF">2026-11-06T10:34:06.767Z</dcterms:created>
  <dcterms:modified xsi:type="dcterms:W3CDTF">2026-11-06T10:34:06.767Z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