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llix" w:cs="Gellix" w:eastAsia="Gellix" w:hAnsi="Gellix"/>
          <w:b/>
          <w:bCs/>
          <w:color w:val="002FA7"/>
          <w:sz w:val="52"/>
          <w:szCs w:val="52"/>
        </w:rPr>
        <w:t xml:space="preserve">Modelo de investor update mensal</w:t>
      </w:r>
    </w:p>
    <w:p>
      <w:pPr>
        <w:spacing w:after="160"/>
      </w:pPr>
      <w:r>
        <w:rPr>
          <w:rFonts w:ascii="Gellix" w:cs="Gellix" w:eastAsia="Gellix" w:hAnsi="Gellix"/>
          <w:color w:val="6B7280"/>
          <w:sz w:val="19"/>
          <w:szCs w:val="19"/>
        </w:rPr>
        <w:t xml:space="preserve">Modelo de referência · atualizado em 8 de setembro de 2026</w:t>
      </w:r>
    </w:p>
    <w:p>
      <w:pPr>
        <w:pBdr>
          <w:left w:val="single" w:color="002FA7" w:sz="24" w:space="8"/>
        </w:pBdr>
        <w:shd w:fill="EEF2FD" w:val="clear"/>
        <w:spacing w:after="280" w:before="60"/>
        <w:ind w:left="100"/>
      </w:pPr>
      <w:r>
        <w:rPr>
          <w:rFonts w:ascii="Gellix" w:cs="Gellix" w:eastAsia="Gellix" w:hAnsi="Gellix"/>
          <w:color w:val="22262F"/>
          <w:sz w:val="19"/>
          <w:szCs w:val="19"/>
        </w:rPr>
  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Use esta estrutura para enviar um update mensal aos investidores. Mantenha o mesmo formato todo mês: quem lê aprende a encontrar a informação no mesmo lugar, e a comparação mês a mês fica mais fácil. Abaixo de cada seção há um exemplo curto preenchido, marcado como "(exemplo)".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Resumo em três linhas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Linha 1: o destaque do mês, positivo ou negativo. (exemplo) Fechamos o mês com receita recorrente de R$ 180 mil, alta de 12% sobre o mês anterior.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Linha 2: o principal risco ou desafio em aberto. (exemplo) O ciclo de vendas para clientes enterprise segue mais longo que o planejado, em torno de 90 dias.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Linha 3: o que muda no próximo mês. (exemplo) Contratação de um segundo executivo de vendas para reduzir a dependência do fundador comercial.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Métricas do mês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Métrica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Mês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Mês anterior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Variação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Meta</w:t>
            </w:r>
          </w:p>
        </w:tc>
      </w:tr>
      <w:t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Receita recorrente mensal (MRR)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</w:tr>
      <w:t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Novos clientes no mês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</w:tr>
      <w:t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Churn de receita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</w:tr>
      <w:t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Caixa em conta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</w:tr>
      <w:tr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Headcount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[percentual]</w:t>
            </w:r>
          </w:p>
        </w:tc>
        <w:tc>
          <w:tcPr>
            <w:tcW w:type="dxa" w:w="1805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</w:t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Caixa e runway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Caixa em conta ao fim do mês: [valor].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Queima de caixa mensal (burn rate): [valor].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Runway estimado no ritmo atual: [número] meses.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(exemplo) Caixa em conta de R$ 1,4 milhão, burn mensal de R$ 140 mil, runway de 10 meses no ritmo atual.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O que funcionou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1, ex.: canal de indicação passou a responder por 30% das nossas novas vendas]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2]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3]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O que não funcionou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1, ex.: a campanha paga no canal X não converteu no custo por cliente esperado e foi pausada]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2]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[Item 3]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Pedidos aos investidores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[Pedido 1, ex.: apresentação a um potencial cliente enterprise no setor Y]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[Pedido 2, ex.: indicação para a próxima contratação de liderança de vendas]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[Pedido 3]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Contratações do mês: [nome e função, ou "nenhuma"].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Saídas do mês: [nome e função, ou "nenhuma"].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Headcount total ao fim do mês: [número].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Próximos 30 dias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[Prioridade 1]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[Prioridade 2]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[Prioridade 3]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Anexos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[Link ou nome do anexo 1, ex.: demonstrativo financeiro do mês]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[Link ou nome do anexo 2, ex.: cap table atualizado, quando houver mudança]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Gellix" w:cs="Gellix" w:eastAsia="Gellix" w:hAnsi="Gellix"/>
        <w:color w:val="6B7280"/>
        <w:sz w:val="16"/>
        <w:szCs w:val="16"/>
      </w:rPr>
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</w:r>
  </w:p>
  <w:p>
    <w:pPr>
      <w:tabs>
        <w:tab w:val="right" w:pos="9026"/>
      </w:tabs>
    </w:pPr>
    <w:r>
      <w:rPr>
        <w:rFonts w:ascii="Gellix" w:cs="Gellix" w:eastAsia="Gellix" w:hAnsi="Gellix"/>
        <w:color w:val="6B728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BE3FB" w:sz="4" w:space="4"/>
      </w:pBdr>
      <w:tabs>
        <w:tab w:val="right" w:pos="9026"/>
      </w:tabs>
    </w:pPr>
    <w:r>
      <w:rPr>
        <w:rFonts w:ascii="Gellix" w:cs="Gellix" w:eastAsia="Gellix" w:hAnsi="Gellix"/>
        <w:b/>
        <w:bCs/>
        <w:color w:val="002FA7"/>
        <w:sz w:val="18"/>
        <w:szCs w:val="18"/>
      </w:rPr>
      <w:t xml:space="preserve">agfroom</w:t>
    </w:r>
    <w:r>
      <w:rPr>
        <w:rFonts w:ascii="Gellix" w:cs="Gellix" w:eastAsia="Gellix" w:hAnsi="Gellix"/>
        <w:color w:val="6B7280"/>
        <w:sz w:val="18"/>
        <w:szCs w:val="18"/>
      </w:rPr>
      <w:t xml:space="preserve">	Modelo de investor update mensal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2" w:hanging="21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2" w:hanging="2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investor update mensal</dc:title>
  <dc:creator>agfroom</dc:creator>
  <dc:description>Estrutura de update mensal para investidores: resumo em três linhas, métricas do mês, caixa e runway, pedidos aos investidores e próximos 30 dias, com um exemplo preenchido.</dc:description>
  <cp:lastModifiedBy>Un-named</cp:lastModifiedBy>
  <cp:revision>1</cp:revision>
  <dcterms:created xsi:type="dcterms:W3CDTF">2026-09-23T10:45:54.530Z</dcterms:created>
  <dcterms:modified xsi:type="dcterms:W3CDTF">2026-09-23T10:45:54.530Z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