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Gellix" w:cs="Gellix" w:eastAsia="Gellix" w:hAnsi="Gellix"/>
          <w:b/>
          <w:bCs/>
          <w:color w:val="002FA7"/>
          <w:sz w:val="52"/>
          <w:szCs w:val="52"/>
        </w:rPr>
        <w:t xml:space="preserve">Modelo de NBO: proposta não vinculante de aquisição</w:t>
      </w:r>
    </w:p>
    <w:p>
      <w:pPr>
        <w:spacing w:after="160"/>
      </w:pPr>
      <w:r>
        <w:rPr>
          <w:rFonts w:ascii="Gellix" w:cs="Gellix" w:eastAsia="Gellix" w:hAnsi="Gellix"/>
          <w:color w:val="6B7280"/>
          <w:sz w:val="19"/>
          <w:szCs w:val="19"/>
        </w:rPr>
        <w:t xml:space="preserve">Modelo de referência · atualizado em 8 de setembro de 2026</w:t>
      </w:r>
    </w:p>
    <w:p>
      <w:pPr>
        <w:pBdr>
          <w:left w:val="single" w:color="002FA7" w:sz="24" w:space="8"/>
        </w:pBdr>
        <w:shd w:fill="EEF2FD" w:val="clear"/>
        <w:spacing w:after="280" w:before="60"/>
        <w:ind w:left="100"/>
      </w:pPr>
      <w:r>
        <w:rPr>
          <w:rFonts w:ascii="Gellix" w:cs="Gellix" w:eastAsia="Gellix" w:hAnsi="Gellix"/>
          <w:color w:val="22262F"/>
          <w:sz w:val="19"/>
          <w:szCs w:val="19"/>
        </w:rPr>
        <w:t xml:space="preserve">Este documento é um modelo de referência disponibilizado pelo agfroom, um produto AGF Capital. Não tem valor legal nem vinculante, não constitui aconselhamento jurídico ou financeiro e não substitui a análise de advogado ou assessor. Adapte ao seu caso antes de usar.</w:t>
      </w:r>
    </w:p>
    <w:p>
      <w:pPr>
        <w:spacing w:after="12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Use este modelo como ponto de partida para uma carta de proposta não vinculante (non-binding offer, NBO) numa transação de M&amp;A. Preencha os campos entre colchetes e ajuste as seções ao caso concreto antes de enviar. Uma NBO formaliza o interesse e os termos indicativos de uma oferta, sem criar obrigação de fechar a transação.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Cabeçalho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tblHeader/>
        </w:trP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Campo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Valor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Proponente (comprador)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[Nome do comprador]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Empresa-alvo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[Nome da empresa-alvo]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Data da proposta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[Data]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Validade da proposta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[Número] dias corridos a partir da data acima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Interlocutor autorizado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[Nome e cargo]</w:t>
            </w:r>
          </w:p>
        </w:tc>
      </w:tr>
    </w:tbl>
    <w:p>
      <w:pPr>
        <w:spacing w:after="120"/>
      </w:pP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Objeto</w:t>
      </w:r>
    </w:p>
    <w:p>
      <w:pPr>
        <w:spacing w:after="12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Esta carta apresenta os termos indicativos e não vinculantes de [Nome do comprador] ("Proponente") para a aquisição de [percentual, ex.: 100%] do capital social de [Nome da empresa-alvo] ("Empresa"), conforme descrito abaixo.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Preço e base de cálculo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Enterprise value indicativo: [valor, ex.: R$ 00.000.000], calculado com base em [metodologia, ex.: múltiplo de EBITDA de 00x sobre o EBITDA de 2026].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Ajuste por dívida líquida: o preço de aquisição das ações (equity value) será o enterprise value acima, deduzida a dívida líquida da Empresa na data de fechamento, apurada conforme [critério, ex.: balanço de fechamento auditado].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Ajuste por capital de giro: o preço será ajustado pela diferença entre o capital de giro na data de fechamento e o capital de giro de referência de [valor], a ser definido em conjunto na diligência.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Este preço é indicativo e está sujeito a confirmação após a diligência (due diligence) e a negociação do contrato definitivo.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Estrutura da transação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Estrutura proposta: [ex.: compra e venda de ações, incorporação, aquisição de ativos].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Forma de pagamento: [ex.: à vista no fechamento, parcela diferida, earn-out atrelado a metas].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Retenção de valor em escrow, quando aplicável: [percentual e prazo].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Permanência dos sócios fundadores e de executivos-chave após o fechamento: [descrição, se relevante para a operação].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Fontes de recursos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Recursos próprios do Proponente: [valor ou percentual].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Financiamento de terceiros, quando aplicável: [instituição e status da aprovação].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Esta seção existe para demonstrar capacidade financeira do Proponente; detalhe conforme o porte da operação.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Condições precedentes e diligência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Conclusão satisfatória de due diligence financeira, jurídica, tributária e operacional, em prazo de [número] dias a partir do acesso ao data room.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Aprovação pelos órgãos de governança do Proponente ([conselho, comitê de investimento ou equivalente]).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Ausência de mudança relevante adversa (material adverse change) na Empresa entre a data desta proposta e o fechamento.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Obtenção de aprovações regulatórias aplicáveis, quando exigidas.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Exclusividade e prazo</w:t>
      </w:r>
    </w:p>
    <w:p>
      <w:pPr>
        <w:spacing w:after="12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O Proponente solicita exclusividade para negociar com a Empresa e seus sócios por [número] dias corridos a partir da aceitação desta proposta, período durante o qual a Empresa e seus sócios se comprometem a não negociar, direta ou indiretamente, com terceiros interessados na aquisição total ou parcial da Empresa.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Confidencialidade</w:t>
      </w:r>
    </w:p>
    <w:p>
      <w:pPr>
        <w:spacing w:after="12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Esta proposta e as informações trocadas entre as partes em decorrência dela permanecem confidenciais, nos termos do acordo de confidencialidade já firmado entre as partes ou a ser firmado previamente ao início da diligência.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Natureza não vinculante</w:t>
      </w:r>
    </w:p>
    <w:p>
      <w:pPr>
        <w:spacing w:after="12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Esta carta expressa um interesse indicativo e não constitui oferta vinculante, nem cria obrigação de qualquer parte em prosseguir ou concluir a transação. As únicas disposições com efeito vinculante entre as partes são as cláusulas de exclusividade e de confidencialidade acima, quando aceitas por escrito. Qualquer obrigação de compra e venda somente existirá com a assinatura do contrato definitivo, aprovado pelos órgãos de governança de ambas as partes.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Próximos passos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Confirmação de recebimento e aceite dos termos de exclusividade e confidencialidade por [Nome da empresa-alvo].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Abertura do data room de M&amp;A para início da diligência.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Negociação do contrato definitivo com base nos termos indicativos acima e no resultado da diligência.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Assinaturas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tblHeader/>
        </w:trP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/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[Nome do comprador]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Data: [Data]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Por: [Nome e cargo do representante]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[Nome da empresa-alvo] (aceite)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Data: [Data]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Por: [Nome e cargo do representante]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</w:tbl>
    <w:p>
      <w:pPr>
        <w:spacing w:after="120"/>
      </w:pPr>
    </w:p>
    <w:sectPr>
      <w:headerReference w:type="default" r:id="rId7"/>
      <w:footerReference w:type="default" r:id="rId8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40"/>
    </w:pPr>
    <w:r>
      <w:rPr>
        <w:rFonts w:ascii="Gellix" w:cs="Gellix" w:eastAsia="Gellix" w:hAnsi="Gellix"/>
        <w:color w:val="6B7280"/>
        <w:sz w:val="16"/>
        <w:szCs w:val="16"/>
      </w:rPr>
      <w:t xml:space="preserve">Este documento é um modelo de referência disponibilizado pelo agfroom, um produto AGF Capital. Não tem valor legal nem vinculante, não constitui aconselhamento jurídico ou financeiro e não substitui a análise de advogado ou assessor. Adapte ao seu caso antes de usar.</w:t>
    </w:r>
  </w:p>
  <w:p>
    <w:pPr>
      <w:tabs>
        <w:tab w:val="right" w:pos="9026"/>
      </w:tabs>
    </w:pPr>
    <w:r>
      <w:rPr>
        <w:rFonts w:ascii="Gellix" w:cs="Gellix" w:eastAsia="Gellix" w:hAnsi="Gellix"/>
        <w:color w:val="6B7280"/>
        <w:sz w:val="16"/>
        <w:szCs w:val="16"/>
      </w:rPr>
      <w:t xml:space="preserve">	Página </w:t>
      <w:fldChar w:fldCharType="begin"/>
      <w:instrText xml:space="preserve">PAGE</w:instrText>
      <w:fldChar w:fldCharType="separate"/>
      <w:fldChar w:fldCharType="end"/>
      <w:t xml:space="preserve"> de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DBE3FB" w:sz="4" w:space="4"/>
      </w:pBdr>
      <w:tabs>
        <w:tab w:val="right" w:pos="9026"/>
      </w:tabs>
    </w:pPr>
    <w:r>
      <w:rPr>
        <w:rFonts w:ascii="Gellix" w:cs="Gellix" w:eastAsia="Gellix" w:hAnsi="Gellix"/>
        <w:b/>
        <w:bCs/>
        <w:color w:val="002FA7"/>
        <w:sz w:val="18"/>
        <w:szCs w:val="18"/>
      </w:rPr>
      <w:t xml:space="preserve">agfroom</w:t>
    </w:r>
    <w:r>
      <w:rPr>
        <w:rFonts w:ascii="Gellix" w:cs="Gellix" w:eastAsia="Gellix" w:hAnsi="Gellix"/>
        <w:color w:val="6B7280"/>
        <w:sz w:val="18"/>
        <w:szCs w:val="18"/>
      </w:rPr>
      <w:t xml:space="preserve">	Modelo de NBO: proposta não vinculante de aquisição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32" w:hanging="216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32" w:hanging="216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NBO: proposta não vinculante de aquisição</dc:title>
  <dc:creator>agfroom</dc:creator>
  <dc:description>Carta de proposta não vinculante (NBO) para M&amp;A, com objeto, preço e base de cálculo, estrutura da transação, condições precedentes e cláusula de natureza não vinculante.</dc:description>
  <cp:lastModifiedBy>Un-named</cp:lastModifiedBy>
  <cp:revision>1</cp:revision>
  <dcterms:created xsi:type="dcterms:W3CDTF">2026-11-06T10:34:06.741Z</dcterms:created>
  <dcterms:modified xsi:type="dcterms:W3CDTF">2026-11-06T10:34:06.741Z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