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Gellix" w:cs="Gellix" w:eastAsia="Gellix" w:hAnsi="Gellix"/>
          <w:b/>
          <w:bCs/>
          <w:color w:val="002FA7"/>
          <w:sz w:val="52"/>
          <w:szCs w:val="52"/>
        </w:rPr>
        <w:t xml:space="preserve">Modelo de term sheet de captação</w:t>
      </w:r>
    </w:p>
    <w:p>
      <w:pPr>
        <w:spacing w:after="160"/>
      </w:pPr>
      <w:r>
        <w:rPr>
          <w:rFonts w:ascii="Gellix" w:cs="Gellix" w:eastAsia="Gellix" w:hAnsi="Gellix"/>
          <w:color w:val="6B7280"/>
          <w:sz w:val="19"/>
          <w:szCs w:val="19"/>
        </w:rPr>
        <w:t xml:space="preserve">Modelo de referência · atualizado em 8 de setembro de 2026</w:t>
      </w:r>
    </w:p>
    <w:p>
      <w:pPr>
        <w:pBdr>
          <w:left w:val="single" w:color="002FA7" w:sz="24" w:space="8"/>
        </w:pBdr>
        <w:shd w:fill="EEF2FD" w:val="clear"/>
        <w:spacing w:after="280" w:before="60"/>
        <w:ind w:left="100"/>
      </w:pPr>
      <w:r>
        <w:rPr>
          <w:rFonts w:ascii="Gellix" w:cs="Gellix" w:eastAsia="Gellix" w:hAnsi="Gellix"/>
          <w:color w:val="22262F"/>
          <w:sz w:val="19"/>
          <w:szCs w:val="19"/>
        </w:rPr>
        <w:t xml:space="preserve">Este documento é um modelo de referência disponibilizado pelo agfroom, um produto AGF Capital. Não tem valor legal nem vinculante, não constitui aconselhamento jurídico ou financeiro e não substitui a análise de advogado ou assessor. Adapte ao seu caso antes de usar.</w:t>
      </w:r>
    </w:p>
    <w:p>
      <w:pPr>
        <w:spacing w:after="12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Use este modelo como ponto de partida para o term sheet de uma rodada de captação de equity. Preencha os campos entre colchetes com os termos negociados e ajuste as cláusulas ao instrumento e ao estágio da empresa antes de circular com investidores. Um term sheet resume os termos principais de uma rodada antes da redação dos contratos definitivos.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tblHeader/>
        </w:trP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Termo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Condição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Emissora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[Nome da empresa]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Investidores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[Nome do fundo ou dos investidores]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Instrumento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[Ações preferenciais, mútuo conversível ou instrumento equivalente]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Valor da rodada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[Valor, ex.: R$ 0.000.000]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Valuation pré-money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[Valor]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Preço por ação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[Valor, calculado sobre o valuation pré-money e o total de ações pré-rodada]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Pool de opções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[Percentual, ex.: 10% pós-rodada, criado pré-money]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Uso dos recursos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[Descrição resumida, ex.: expansão comercial e contratação de time técnico]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Preferência de liquidação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[Ex.: 1x não cumulativa, com participação ou não participação nos resultados]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Antidiluição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[Ex.: full ratchet ou weighted average (broad-based), conforme negociado]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Dividendos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[Ex.: preferência de 0% ao ano sobre o valor investido, se aplicável]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Conselho e governança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[Composição do conselho ou comitê consultivo, direitos de veto do investidor]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Direitos de informação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[Periodicidade de relatórios financeiros e operacionais ao investidor]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Direito de preferência e tag along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[Direito de participar de rodadas futuras e de acompanhar a venda de ações dos fundadores]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Drag along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[Percentual de aprovação necessário para obrigar os demais sócios a vender numa transação]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Vesting dos fundadores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[Ex.: 4 anos, com 1 ano de cliff, sujeito a permanência]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Não competição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[Prazo e escopo da restrição aplicável a fundadores após desligamento]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Condições precedentes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[Diligência satisfatória, aprovação societária, documentação legal em ordem]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Exclusividade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[Prazo, ex.: 45 dias corridos a partir da assinatura deste term sheet]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Confidencialidade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[Prazo e escopo, ex.: 2 anos a partir da assinatura]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Despesas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[Como se dividem as despesas legais da rodada entre emissora e investidores]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Lei aplicável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[Ex.: leis da República Federativa do Brasil, foro da comarca de São Paulo]</w:t>
            </w:r>
          </w:p>
        </w:tc>
      </w:tr>
      <w:tr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Natureza vinculante</w:t>
            </w:r>
          </w:p>
        </w:tc>
        <w:tc>
          <w:tcPr>
            <w:tcW w:type="dxa" w:w="4513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Este term sheet não é vinculante quanto ao valor, ao valuation e às condições comerciais, exceto quanto às cláusulas de confidencialidade, exclusividade e despesas, que têm efeito vinculante entre as partes a partir da assinatura</w:t>
            </w:r>
          </w:p>
        </w:tc>
      </w:tr>
    </w:tbl>
    <w:p>
      <w:pPr>
        <w:spacing w:after="120"/>
      </w:pP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Notas de preenchimento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Pool de opções: registre se o pool é criado pré-money (dilui só os sócios atuais) ou pós-money (dilui também o investidor da rodada), porque isso muda o preço por ação.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Antidiluição weighted average costuma ser o padrão em rodadas early-stage; full ratchet é mais raro e mais protetivo ao investidor.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Vesting dos fundadores geralmente cobre só quem ainda não tinha vesting de uma rodada anterior; registre exceções por fundador quando houver.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A cláusula de natureza vinculante é a que protege as duas partes: deixe explícito o que vale antes da assinatura do contrato definitivo e o que não vale.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Circule a versão final com todos os campos preenchidos antes de pedir assinatura: um term sheet com colchetes abertos gera retrabalho na negociação.</w:t>
      </w:r>
    </w:p>
    <w:sectPr>
      <w:headerReference w:type="default" r:id="rId7"/>
      <w:footerReference w:type="default" r:id="rId8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40"/>
    </w:pPr>
    <w:r>
      <w:rPr>
        <w:rFonts w:ascii="Gellix" w:cs="Gellix" w:eastAsia="Gellix" w:hAnsi="Gellix"/>
        <w:color w:val="6B7280"/>
        <w:sz w:val="16"/>
        <w:szCs w:val="16"/>
      </w:rPr>
      <w:t xml:space="preserve">Este documento é um modelo de referência disponibilizado pelo agfroom, um produto AGF Capital. Não tem valor legal nem vinculante, não constitui aconselhamento jurídico ou financeiro e não substitui a análise de advogado ou assessor. Adapte ao seu caso antes de usar.</w:t>
    </w:r>
  </w:p>
  <w:p>
    <w:pPr>
      <w:tabs>
        <w:tab w:val="right" w:pos="9026"/>
      </w:tabs>
    </w:pPr>
    <w:r>
      <w:rPr>
        <w:rFonts w:ascii="Gellix" w:cs="Gellix" w:eastAsia="Gellix" w:hAnsi="Gellix"/>
        <w:color w:val="6B7280"/>
        <w:sz w:val="16"/>
        <w:szCs w:val="16"/>
      </w:rPr>
      <w:t xml:space="preserve">	Página </w:t>
      <w:fldChar w:fldCharType="begin"/>
      <w:instrText xml:space="preserve">PAGE</w:instrText>
      <w:fldChar w:fldCharType="separate"/>
      <w:fldChar w:fldCharType="end"/>
      <w:t xml:space="preserve"> de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DBE3FB" w:sz="4" w:space="4"/>
      </w:pBdr>
      <w:tabs>
        <w:tab w:val="right" w:pos="9026"/>
      </w:tabs>
    </w:pPr>
    <w:r>
      <w:rPr>
        <w:rFonts w:ascii="Gellix" w:cs="Gellix" w:eastAsia="Gellix" w:hAnsi="Gellix"/>
        <w:b/>
        <w:bCs/>
        <w:color w:val="002FA7"/>
        <w:sz w:val="18"/>
        <w:szCs w:val="18"/>
      </w:rPr>
      <w:t xml:space="preserve">agfroom</w:t>
    </w:r>
    <w:r>
      <w:rPr>
        <w:rFonts w:ascii="Gellix" w:cs="Gellix" w:eastAsia="Gellix" w:hAnsi="Gellix"/>
        <w:color w:val="6B7280"/>
        <w:sz w:val="18"/>
        <w:szCs w:val="18"/>
      </w:rPr>
      <w:t xml:space="preserve">	Modelo de term sheet de captação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32" w:hanging="216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32" w:hanging="216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term sheet de captação</dc:title>
  <dc:creator>agfroom</dc:creator>
  <dc:description>Term sheet de rodada de equity em formato termo e condição: instrumento, valuation, preferências, governança, vesting e condições, com notas de preenchimento.</dc:description>
  <cp:lastModifiedBy>Un-named</cp:lastModifiedBy>
  <cp:revision>1</cp:revision>
  <dcterms:created xsi:type="dcterms:W3CDTF">2026-11-06T10:34:06.788Z</dcterms:created>
  <dcterms:modified xsi:type="dcterms:W3CDTF">2026-11-06T10:34:06.788Z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