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llix" w:cs="Gellix" w:eastAsia="Gellix" w:hAnsi="Gellix"/>
          <w:b/>
          <w:bCs/>
          <w:color w:val="002FA7"/>
          <w:sz w:val="52"/>
          <w:szCs w:val="52"/>
        </w:rPr>
        <w:t xml:space="preserve">Modelo de term sheet de captação</w:t>
      </w:r>
    </w:p>
    <w:p>
      <w:pPr>
        <w:spacing w:after="160"/>
      </w:pPr>
      <w:r>
        <w:rPr>
          <w:rFonts w:ascii="Gellix" w:cs="Gellix" w:eastAsia="Gellix" w:hAnsi="Gellix"/>
          <w:color w:val="6B7280"/>
          <w:sz w:val="19"/>
          <w:szCs w:val="19"/>
        </w:rPr>
        <w:t xml:space="preserve">Modelo de referência · atualizado em 8 de setembro de 2026</w:t>
      </w:r>
    </w:p>
    <w:p>
      <w:pPr>
        <w:pBdr>
          <w:left w:val="single" w:color="002FA7" w:sz="24" w:space="8"/>
        </w:pBdr>
        <w:shd w:fill="EEF2FD" w:val="clear"/>
        <w:spacing w:after="280" w:before="60"/>
        <w:ind w:left="100"/>
      </w:pPr>
      <w:r>
        <w:rPr>
          <w:rFonts w:ascii="Gellix" w:cs="Gellix" w:eastAsia="Gellix" w:hAnsi="Gellix"/>
          <w:color w:val="22262F"/>
          <w:sz w:val="19"/>
          <w:szCs w:val="19"/>
        </w:rPr>
        <w:t xml:space="preserve">Este documento é um modelo de referência disponibilizado pelo agfroom, um produto AGF Capital. Não tem valor legal nem vinculante, não constitui aconselhamento jurídico ou financeiro e não substitui a análise de advogado ou assessor. Adapte ao seu caso antes de usar.</w:t>
      </w:r>
    </w:p>
    <w:p>
      <w:pPr>
        <w:spacing w:after="12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Use este modelo como ponto de partida para o term sheet de uma rodada de captação de equity. Preencha os campos entre colchetes com os termos negociados e ajuste as cláusulas ao instrumento e ao estágio da empresa antes de circular com investidores. Um term sheet resume os termos principais de uma rodada antes da redação dos contratos definitivos.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Termo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shd w:fill="002FA7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rFonts w:ascii="Gellix" w:cs="Gellix" w:eastAsia="Gellix" w:hAnsi="Gellix"/>
                <w:b/>
                <w:bCs/>
                <w:color w:val="FFFFFF"/>
                <w:sz w:val="19"/>
                <w:szCs w:val="19"/>
              </w:rPr>
              <w:t xml:space="preserve">Condição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Emissora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[Nome da empresa]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Investidores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[Nome do fundo ou dos investidores]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Instrumento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[Ações preferenciais, mútuo conversível ou instrumento equivalente]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Valor da rodada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[Valor, ex.: R$ 0.000.000]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Valuation pré-money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[Valor]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Preço por ação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[Valor, calculado sobre o valuation pré-money e o total de ações pré-rodada]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Pool de opções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[Percentual, ex.: 10% pós-rodada, criado pré-money]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Uso dos recursos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[Descrição resumida, ex.: expansão comercial e contratação de time técnico]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Preferência de liquidação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[Ex.: 1x não cumulativa, com participação ou não participação nos resultados]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Antidiluição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[Ex.: full ratchet ou weighted average (broad-based), conforme negociado]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Dividendos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[Ex.: preferência de 0% ao ano sobre o valor investido, se aplicável]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Conselho e governança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[Composição do conselho ou comitê consultivo, direitos de veto do investidor]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Direitos de informação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[Periodicidade de relatórios financeiros e operacionais ao investidor]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Direito de preferência e tag along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[Direito de participar de rodadas futuras e de acompanhar a venda de ações dos fundadores]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Drag along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[Percentual de aprovação necessário para obrigar os demais sócios a vender numa transação]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Vesting dos fundadores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[Ex.: 4 anos, com 1 ano de cliff, sujeito a permanência]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Não competição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[Prazo e escopo da restrição aplicável a fundadores após desligamento]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Condições precedentes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[Diligência satisfatória, aprovação societária, documentação legal em ordem]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Exclusividade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[Prazo, ex.: 45 dias corridos a partir da assinatura deste term sheet]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Confidencialidade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[Prazo e escopo, ex.: 2 anos a partir da assinatura]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Despesas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[Como se dividem as despesas legais da rodada entre emissora e investidores]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Lei aplicável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[Ex.: leis da República Federativa do Brasil, foro da comarca de São Paulo]</w:t>
            </w:r>
          </w:p>
        </w:tc>
      </w:tr>
      <w:tr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Natureza vinculante</w:t>
            </w:r>
          </w:p>
        </w:tc>
        <w:tc>
          <w:tcPr>
            <w:tcW w:type="dxa" w:w="4513"/>
            <w:tcBorders>
              <w:top w:val="single" w:color="DBE3FB" w:sz="2"/>
              <w:left w:val="single" w:color="DBE3FB" w:sz="2"/>
              <w:bottom w:val="single" w:color="DBE3FB" w:sz="2"/>
              <w:right w:val="single" w:color="DBE3FB" w:sz="2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rFonts w:ascii="Gellix" w:cs="Gellix" w:eastAsia="Gellix" w:hAnsi="Gellix"/>
                <w:color w:val="22262F"/>
                <w:sz w:val="19"/>
                <w:szCs w:val="19"/>
              </w:rPr>
              <w:t xml:space="preserve">Este term sheet não é vinculante quanto ao valor, ao valuation e às condições comerciais, exceto quanto às cláusulas de confidencialidade, exclusividade e despesas, que têm efeito vinculante entre as partes a partir da assinatura</w:t>
            </w:r>
          </w:p>
        </w:tc>
      </w:tr>
    </w:tbl>
    <w:p>
      <w:pPr>
        <w:spacing w:after="120"/>
      </w:pPr>
    </w:p>
    <w:p>
      <w:pPr>
        <w:spacing w:after="120" w:before="360"/>
      </w:pPr>
      <w:r>
        <w:rPr>
          <w:rFonts w:ascii="Gellix" w:cs="Gellix" w:eastAsia="Gellix" w:hAnsi="Gellix"/>
          <w:b/>
          <w:bCs/>
          <w:color w:val="002FA7"/>
          <w:sz w:val="32"/>
          <w:szCs w:val="32"/>
        </w:rPr>
        <w:t xml:space="preserve">Notas de preenchimento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Pool de opções: registre se o pool é criado pré-money (dilui só os sócios atuais) ou pós-money (dilui também o investidor da rodada), porque isso muda o preço por ação.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Antidiluição weighted average costuma ser o padrão em rodadas early-stage; full ratchet é mais raro e mais protetivo ao investidor.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Vesting dos fundadores geralmente cobre só quem ainda não tinha vesting de uma rodada anterior; registre exceções por fundador quando houver.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A cláusula de natureza vinculante é a que protege as duas partes: deixe explícito o que vale antes da assinatura do contrato definitivo e o que não vale.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Gellix" w:cs="Gellix" w:eastAsia="Gellix" w:hAnsi="Gellix"/>
          <w:b w:val="false"/>
          <w:bCs w:val="false"/>
          <w:i w:val="false"/>
          <w:iCs w:val="false"/>
          <w:color w:val="22262F"/>
          <w:sz w:val="21"/>
          <w:szCs w:val="21"/>
        </w:rPr>
        <w:t xml:space="preserve">Circule a versão final com todos os campos preenchidos antes de pedir assinatura: um term sheet com colchetes abertos gera retrabalho na negociação.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Gellix" w:cs="Gellix" w:eastAsia="Gellix" w:hAnsi="Gellix"/>
        <w:color w:val="6B7280"/>
        <w:sz w:val="16"/>
        <w:szCs w:val="16"/>
      </w:rPr>
      <w:t xml:space="preserve">Este documento é um modelo de referência disponibilizado pelo agfroom, um produto AGF Capital. Não tem valor legal nem vinculante, não constitui aconselhamento jurídico ou financeiro e não substitui a análise de advogado ou assessor. Adapte ao seu caso antes de usar.</w:t>
    </w:r>
  </w:p>
  <w:p>
    <w:pPr>
      <w:tabs>
        <w:tab w:val="right" w:pos="9026"/>
      </w:tabs>
    </w:pPr>
    <w:r>
      <w:rPr>
        <w:rFonts w:ascii="Gellix" w:cs="Gellix" w:eastAsia="Gellix" w:hAnsi="Gellix"/>
        <w:color w:val="6B7280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BE3FB" w:sz="4" w:space="4"/>
      </w:pBdr>
      <w:tabs>
        <w:tab w:val="right" w:pos="9026"/>
      </w:tabs>
    </w:pPr>
    <w:r>
      <w:rPr>
        <w:rFonts w:ascii="Gellix" w:cs="Gellix" w:eastAsia="Gellix" w:hAnsi="Gellix"/>
        <w:b/>
        <w:bCs/>
        <w:color w:val="002FA7"/>
        <w:sz w:val="18"/>
        <w:szCs w:val="18"/>
      </w:rPr>
      <w:t xml:space="preserve">agfroom</w:t>
    </w:r>
    <w:r>
      <w:rPr>
        <w:rFonts w:ascii="Gellix" w:cs="Gellix" w:eastAsia="Gellix" w:hAnsi="Gellix"/>
        <w:color w:val="6B7280"/>
        <w:sz w:val="18"/>
        <w:szCs w:val="18"/>
      </w:rPr>
      <w:t xml:space="preserve">	Modelo de term sheet de captação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2" w:hanging="216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2" w:hanging="216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term sheet de captação</dc:title>
  <dc:creator>agfroom</dc:creator>
  <dc:description>Term sheet de rodada de equity em formato termo e condição: instrumento, valuation, preferências, governança, vesting e condições, com notas de preenchimento.</dc:description>
  <cp:lastModifiedBy>Un-named</cp:lastModifiedBy>
  <cp:revision>1</cp:revision>
  <dcterms:created xsi:type="dcterms:W3CDTF">2026-09-23T10:45:54.577Z</dcterms:created>
  <dcterms:modified xsi:type="dcterms:W3CDTF">2026-09-23T10:45:54.577Z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